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keepNext w:val="0"/>
        <w:keepLines w:val="0"/>
        <w:pageBreakBefore w:val="0"/>
        <w:widowControl w:val="0"/>
        <w:kinsoku/>
        <w:wordWrap/>
        <w:overflowPunct/>
        <w:topLinePunct w:val="0"/>
        <w:autoSpaceDE w:val="0"/>
        <w:autoSpaceDN w:val="0"/>
        <w:bidi w:val="0"/>
        <w:adjustRightInd/>
        <w:snapToGrid/>
        <w:spacing w:line="240" w:lineRule="auto"/>
        <w:ind w:left="0" w:leftChars="0" w:right="0" w:rightChars="0" w:firstLine="0" w:firstLineChars="0"/>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sz w:val="44"/>
          <w:szCs w:val="44"/>
        </w:rPr>
        <w:t>中华人民共和国</w:t>
      </w:r>
      <w:r>
        <w:rPr>
          <w:rFonts w:hint="eastAsia" w:ascii="方正小标宋简体" w:hAnsi="方正小标宋简体" w:eastAsia="方正小标宋简体" w:cs="方正小标宋简体"/>
          <w:b w:val="0"/>
          <w:bCs w:val="0"/>
          <w:sz w:val="44"/>
          <w:szCs w:val="44"/>
          <w:lang w:eastAsia="zh-CN"/>
        </w:rPr>
        <w:t>供销合作</w:t>
      </w:r>
      <w:r>
        <w:rPr>
          <w:rFonts w:hint="eastAsia" w:ascii="方正小标宋简体" w:hAnsi="方正小标宋简体" w:eastAsia="方正小标宋简体" w:cs="方正小标宋简体"/>
          <w:b w:val="0"/>
          <w:bCs w:val="0"/>
          <w:sz w:val="44"/>
          <w:szCs w:val="44"/>
        </w:rPr>
        <w:t>行业标准</w:t>
      </w:r>
    </w:p>
    <w:p>
      <w:pPr>
        <w:keepNext w:val="0"/>
        <w:keepLines w:val="0"/>
        <w:pageBreakBefore w:val="0"/>
        <w:widowControl w:val="0"/>
        <w:kinsoku/>
        <w:wordWrap/>
        <w:overflowPunct/>
        <w:topLinePunct w:val="0"/>
        <w:autoSpaceDE w:val="0"/>
        <w:autoSpaceDN w:val="0"/>
        <w:bidi w:val="0"/>
        <w:adjustRightInd/>
        <w:snapToGrid/>
        <w:spacing w:line="240" w:lineRule="auto"/>
        <w:ind w:left="0" w:leftChars="0" w:right="0" w:rightChars="0" w:firstLine="0" w:firstLineChars="0"/>
        <w:jc w:val="center"/>
        <w:textAlignment w:val="auto"/>
        <w:outlineLvl w:val="9"/>
        <w:rPr>
          <w:rFonts w:hint="eastAsia" w:ascii="方正小标宋简体" w:hAnsi="方正小标宋简体" w:eastAsia="方正小标宋简体" w:cs="方正小标宋简体"/>
          <w:b w:val="0"/>
          <w:bCs w:val="0"/>
          <w:sz w:val="36"/>
          <w:szCs w:val="36"/>
        </w:rPr>
      </w:pPr>
      <w:r>
        <w:rPr>
          <w:rFonts w:hint="eastAsia" w:ascii="方正小标宋简体" w:hAnsi="方正小标宋简体" w:eastAsia="方正小标宋简体" w:cs="方正小标宋简体"/>
          <w:b w:val="0"/>
          <w:bCs w:val="0"/>
          <w:sz w:val="36"/>
          <w:szCs w:val="36"/>
        </w:rPr>
        <w:t>《</w:t>
      </w:r>
      <w:r>
        <w:rPr>
          <w:rFonts w:hint="eastAsia" w:ascii="方正小标宋简体" w:hAnsi="方正小标宋简体" w:eastAsia="方正小标宋简体" w:cs="方正小标宋简体"/>
          <w:b w:val="0"/>
          <w:bCs w:val="0"/>
          <w:sz w:val="36"/>
          <w:szCs w:val="36"/>
          <w:lang w:eastAsia="zh-CN"/>
        </w:rPr>
        <w:t>农资质量追溯体系建设规范</w:t>
      </w:r>
      <w:r>
        <w:rPr>
          <w:rFonts w:hint="eastAsia" w:ascii="方正小标宋简体" w:hAnsi="方正小标宋简体" w:eastAsia="方正小标宋简体" w:cs="方正小标宋简体"/>
          <w:b w:val="0"/>
          <w:bCs w:val="0"/>
          <w:sz w:val="36"/>
          <w:szCs w:val="36"/>
        </w:rPr>
        <w:t>》</w:t>
      </w:r>
    </w:p>
    <w:p>
      <w:pPr>
        <w:keepNext w:val="0"/>
        <w:keepLines w:val="0"/>
        <w:pageBreakBefore w:val="0"/>
        <w:widowControl w:val="0"/>
        <w:kinsoku/>
        <w:wordWrap/>
        <w:overflowPunct/>
        <w:topLinePunct w:val="0"/>
        <w:autoSpaceDE w:val="0"/>
        <w:autoSpaceDN w:val="0"/>
        <w:bidi w:val="0"/>
        <w:adjustRightInd/>
        <w:snapToGrid/>
        <w:spacing w:line="240" w:lineRule="auto"/>
        <w:ind w:left="0" w:leftChars="0" w:right="0" w:rightChars="0" w:firstLine="0" w:firstLineChars="0"/>
        <w:jc w:val="center"/>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（征求意见稿）</w:t>
      </w:r>
    </w:p>
    <w:p>
      <w:pPr>
        <w:keepNext w:val="0"/>
        <w:keepLines w:val="0"/>
        <w:pageBreakBefore w:val="0"/>
        <w:widowControl w:val="0"/>
        <w:kinsoku/>
        <w:wordWrap/>
        <w:overflowPunct/>
        <w:topLinePunct w:val="0"/>
        <w:autoSpaceDE w:val="0"/>
        <w:autoSpaceDN w:val="0"/>
        <w:bidi w:val="0"/>
        <w:adjustRightInd/>
        <w:snapToGrid/>
        <w:spacing w:line="240" w:lineRule="auto"/>
        <w:ind w:left="0" w:leftChars="0" w:right="0" w:rightChars="0" w:firstLine="0" w:firstLineChars="0"/>
        <w:jc w:val="center"/>
        <w:textAlignment w:val="auto"/>
        <w:outlineLvl w:val="9"/>
        <w:rPr>
          <w:rFonts w:hint="eastAsia" w:ascii="方正小标宋简体" w:hAnsi="方正小标宋简体" w:eastAsia="方正小标宋简体" w:cs="方正小标宋简体"/>
          <w:b w:val="0"/>
          <w:bCs w:val="0"/>
          <w:sz w:val="36"/>
          <w:szCs w:val="36"/>
        </w:rPr>
      </w:pPr>
    </w:p>
    <w:p>
      <w:pPr>
        <w:keepNext w:val="0"/>
        <w:keepLines w:val="0"/>
        <w:pageBreakBefore w:val="0"/>
        <w:widowControl w:val="0"/>
        <w:kinsoku/>
        <w:wordWrap/>
        <w:overflowPunct/>
        <w:topLinePunct w:val="0"/>
        <w:autoSpaceDE w:val="0"/>
        <w:autoSpaceDN w:val="0"/>
        <w:bidi w:val="0"/>
        <w:adjustRightInd/>
        <w:snapToGrid/>
        <w:spacing w:line="240" w:lineRule="auto"/>
        <w:ind w:left="0" w:leftChars="0" w:right="0" w:rightChars="0" w:firstLine="0" w:firstLineChars="0"/>
        <w:jc w:val="center"/>
        <w:textAlignment w:val="auto"/>
        <w:outlineLvl w:val="9"/>
        <w:rPr>
          <w:rFonts w:hint="eastAsia" w:ascii="方正小标宋简体" w:hAnsi="方正小标宋简体" w:eastAsia="方正小标宋简体" w:cs="方正小标宋简体"/>
          <w:b w:val="0"/>
          <w:bCs w:val="0"/>
          <w:sz w:val="36"/>
          <w:szCs w:val="36"/>
        </w:rPr>
      </w:pPr>
    </w:p>
    <w:p>
      <w:pPr>
        <w:keepNext w:val="0"/>
        <w:keepLines w:val="0"/>
        <w:pageBreakBefore w:val="0"/>
        <w:widowControl w:val="0"/>
        <w:kinsoku/>
        <w:wordWrap/>
        <w:overflowPunct/>
        <w:topLinePunct w:val="0"/>
        <w:autoSpaceDE w:val="0"/>
        <w:autoSpaceDN w:val="0"/>
        <w:bidi w:val="0"/>
        <w:adjustRightInd/>
        <w:snapToGrid/>
        <w:spacing w:line="240" w:lineRule="auto"/>
        <w:ind w:left="0" w:leftChars="0" w:right="0" w:rightChars="0" w:firstLine="0" w:firstLineChars="0"/>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sz w:val="44"/>
          <w:szCs w:val="44"/>
        </w:rPr>
        <w:t>编制说明</w:t>
      </w:r>
    </w:p>
    <w:p>
      <w:pPr>
        <w:keepNext w:val="0"/>
        <w:keepLines w:val="0"/>
        <w:pageBreakBefore w:val="0"/>
        <w:widowControl w:val="0"/>
        <w:kinsoku/>
        <w:wordWrap/>
        <w:overflowPunct/>
        <w:topLinePunct w:val="0"/>
        <w:autoSpaceDE w:val="0"/>
        <w:autoSpaceDN w:val="0"/>
        <w:bidi w:val="0"/>
        <w:adjustRightInd/>
        <w:snapToGrid/>
        <w:spacing w:line="240" w:lineRule="auto"/>
        <w:ind w:left="0" w:leftChars="0" w:right="0" w:rightChars="0" w:firstLine="0" w:firstLineChars="0"/>
        <w:jc w:val="center"/>
        <w:textAlignment w:val="auto"/>
        <w:rPr>
          <w:rFonts w:hint="eastAsia" w:ascii="仿宋_GB2312" w:hAnsi="仿宋_GB2312" w:eastAsia="仿宋_GB2312"/>
          <w:sz w:val="32"/>
        </w:rPr>
      </w:pPr>
    </w:p>
    <w:p>
      <w:pPr>
        <w:widowControl w:val="0"/>
        <w:autoSpaceDE w:val="0"/>
        <w:autoSpaceDN w:val="0"/>
        <w:spacing w:line="300" w:lineRule="auto"/>
        <w:jc w:val="center"/>
        <w:rPr>
          <w:rFonts w:hint="eastAsia" w:ascii="仿宋_GB2312" w:hAnsi="仿宋_GB2312" w:eastAsia="仿宋_GB2312"/>
          <w:sz w:val="32"/>
        </w:rPr>
      </w:pPr>
    </w:p>
    <w:p>
      <w:pPr>
        <w:widowControl w:val="0"/>
        <w:autoSpaceDE w:val="0"/>
        <w:autoSpaceDN w:val="0"/>
        <w:spacing w:line="300" w:lineRule="auto"/>
        <w:jc w:val="center"/>
        <w:rPr>
          <w:rFonts w:hint="eastAsia" w:ascii="仿宋_GB2312" w:hAnsi="仿宋_GB2312" w:eastAsia="仿宋_GB2312"/>
          <w:sz w:val="32"/>
        </w:rPr>
      </w:pPr>
    </w:p>
    <w:p>
      <w:pPr>
        <w:widowControl w:val="0"/>
        <w:autoSpaceDE w:val="0"/>
        <w:autoSpaceDN w:val="0"/>
        <w:spacing w:line="300" w:lineRule="auto"/>
        <w:jc w:val="center"/>
        <w:rPr>
          <w:rFonts w:hint="eastAsia" w:ascii="仿宋_GB2312" w:hAnsi="仿宋_GB2312" w:eastAsia="仿宋_GB2312"/>
          <w:sz w:val="32"/>
        </w:rPr>
      </w:pPr>
    </w:p>
    <w:p>
      <w:pPr>
        <w:widowControl w:val="0"/>
        <w:autoSpaceDE w:val="0"/>
        <w:autoSpaceDN w:val="0"/>
        <w:spacing w:line="300" w:lineRule="auto"/>
        <w:jc w:val="center"/>
        <w:rPr>
          <w:rFonts w:hint="eastAsia" w:ascii="仿宋_GB2312" w:hAnsi="仿宋_GB2312" w:eastAsia="仿宋_GB2312"/>
          <w:sz w:val="32"/>
        </w:rPr>
      </w:pPr>
    </w:p>
    <w:p>
      <w:pPr>
        <w:widowControl w:val="0"/>
        <w:autoSpaceDE w:val="0"/>
        <w:autoSpaceDN w:val="0"/>
        <w:spacing w:line="300" w:lineRule="auto"/>
        <w:jc w:val="center"/>
        <w:rPr>
          <w:rFonts w:hint="eastAsia" w:ascii="仿宋_GB2312" w:hAnsi="仿宋_GB2312" w:eastAsia="仿宋_GB2312"/>
          <w:sz w:val="32"/>
        </w:rPr>
      </w:pPr>
    </w:p>
    <w:p>
      <w:pPr>
        <w:widowControl w:val="0"/>
        <w:autoSpaceDE w:val="0"/>
        <w:autoSpaceDN w:val="0"/>
        <w:spacing w:line="300" w:lineRule="auto"/>
        <w:jc w:val="center"/>
        <w:rPr>
          <w:rFonts w:hint="eastAsia" w:ascii="仿宋_GB2312" w:hAnsi="仿宋_GB2312" w:eastAsia="仿宋_GB2312"/>
          <w:sz w:val="32"/>
        </w:rPr>
      </w:pPr>
    </w:p>
    <w:p>
      <w:pPr>
        <w:widowControl w:val="0"/>
        <w:autoSpaceDE w:val="0"/>
        <w:autoSpaceDN w:val="0"/>
        <w:spacing w:line="300" w:lineRule="auto"/>
        <w:jc w:val="center"/>
        <w:rPr>
          <w:rFonts w:hint="eastAsia" w:ascii="仿宋_GB2312" w:hAnsi="仿宋_GB2312" w:eastAsia="仿宋_GB2312"/>
          <w:sz w:val="32"/>
        </w:rPr>
      </w:pPr>
    </w:p>
    <w:p>
      <w:pPr>
        <w:widowControl w:val="0"/>
        <w:autoSpaceDE w:val="0"/>
        <w:autoSpaceDN w:val="0"/>
        <w:spacing w:line="300" w:lineRule="auto"/>
        <w:jc w:val="center"/>
        <w:rPr>
          <w:rFonts w:hint="eastAsia" w:ascii="仿宋_GB2312" w:hAnsi="仿宋_GB2312" w:eastAsia="仿宋_GB2312"/>
          <w:sz w:val="32"/>
        </w:rPr>
      </w:pPr>
    </w:p>
    <w:p>
      <w:pPr>
        <w:widowControl w:val="0"/>
        <w:autoSpaceDE w:val="0"/>
        <w:autoSpaceDN w:val="0"/>
        <w:spacing w:line="300" w:lineRule="auto"/>
        <w:jc w:val="center"/>
        <w:rPr>
          <w:rFonts w:hint="eastAsia" w:ascii="仿宋_GB2312" w:hAnsi="仿宋_GB2312" w:eastAsia="仿宋_GB2312"/>
          <w:sz w:val="32"/>
        </w:rPr>
      </w:pPr>
    </w:p>
    <w:p>
      <w:pPr>
        <w:widowControl w:val="0"/>
        <w:autoSpaceDE w:val="0"/>
        <w:autoSpaceDN w:val="0"/>
        <w:spacing w:line="300" w:lineRule="auto"/>
        <w:jc w:val="center"/>
        <w:rPr>
          <w:rFonts w:hint="eastAsia" w:ascii="仿宋_GB2312" w:hAnsi="仿宋_GB2312" w:eastAsia="仿宋_GB2312"/>
          <w:sz w:val="32"/>
        </w:rPr>
      </w:pPr>
    </w:p>
    <w:p>
      <w:pPr>
        <w:widowControl w:val="0"/>
        <w:autoSpaceDE w:val="0"/>
        <w:autoSpaceDN w:val="0"/>
        <w:spacing w:line="300" w:lineRule="auto"/>
        <w:jc w:val="both"/>
        <w:rPr>
          <w:rFonts w:hint="eastAsia" w:ascii="仿宋_GB2312" w:hAnsi="仿宋_GB2312" w:eastAsia="仿宋_GB2312"/>
          <w:sz w:val="32"/>
        </w:rPr>
      </w:pPr>
    </w:p>
    <w:p>
      <w:pPr>
        <w:keepNext w:val="0"/>
        <w:keepLines w:val="0"/>
        <w:pageBreakBefore w:val="0"/>
        <w:kinsoku/>
        <w:wordWrap/>
        <w:overflowPunct/>
        <w:topLinePunct w:val="0"/>
        <w:bidi w:val="0"/>
        <w:adjustRightInd/>
        <w:snapToGrid/>
        <w:spacing w:line="600" w:lineRule="exact"/>
        <w:ind w:left="0" w:leftChars="0" w:right="0" w:rightChars="0" w:firstLine="640" w:firstLineChars="200"/>
        <w:jc w:val="center"/>
        <w:textAlignment w:val="auto"/>
        <w:outlineLvl w:val="9"/>
        <w:rPr>
          <w:rFonts w:hint="eastAsia" w:ascii="仿宋_GB2312" w:hAnsi="仿宋" w:eastAsia="仿宋_GB2312" w:cs="仿宋"/>
          <w:sz w:val="32"/>
          <w:szCs w:val="32"/>
        </w:rPr>
      </w:pPr>
      <w:r>
        <w:rPr>
          <w:rFonts w:hint="eastAsia" w:ascii="仿宋_GB2312" w:hAnsi="仿宋" w:eastAsia="仿宋_GB2312" w:cs="仿宋"/>
          <w:sz w:val="32"/>
          <w:szCs w:val="32"/>
        </w:rPr>
        <w:t>《</w:t>
      </w:r>
      <w:r>
        <w:rPr>
          <w:rFonts w:hint="eastAsia" w:ascii="仿宋_GB2312" w:hAnsi="仿宋" w:eastAsia="仿宋_GB2312" w:cs="仿宋"/>
          <w:sz w:val="32"/>
          <w:szCs w:val="32"/>
          <w:lang w:eastAsia="zh-CN"/>
        </w:rPr>
        <w:t>农资质量追溯</w:t>
      </w:r>
      <w:bookmarkStart w:id="6" w:name="_GoBack"/>
      <w:bookmarkEnd w:id="6"/>
      <w:r>
        <w:rPr>
          <w:rFonts w:hint="eastAsia" w:ascii="仿宋_GB2312" w:hAnsi="仿宋" w:eastAsia="仿宋_GB2312" w:cs="仿宋"/>
          <w:sz w:val="32"/>
          <w:szCs w:val="32"/>
          <w:lang w:eastAsia="zh-CN"/>
        </w:rPr>
        <w:t>体系建设规范</w:t>
      </w:r>
      <w:r>
        <w:rPr>
          <w:rFonts w:hint="eastAsia" w:ascii="仿宋_GB2312" w:hAnsi="仿宋" w:eastAsia="仿宋_GB2312" w:cs="仿宋"/>
          <w:sz w:val="32"/>
          <w:szCs w:val="32"/>
        </w:rPr>
        <w:t>》编制组</w:t>
      </w:r>
    </w:p>
    <w:p>
      <w:pPr>
        <w:keepNext w:val="0"/>
        <w:keepLines w:val="0"/>
        <w:pageBreakBefore w:val="0"/>
        <w:kinsoku/>
        <w:wordWrap/>
        <w:overflowPunct/>
        <w:topLinePunct w:val="0"/>
        <w:bidi w:val="0"/>
        <w:adjustRightInd/>
        <w:snapToGrid/>
        <w:spacing w:line="600" w:lineRule="exact"/>
        <w:ind w:left="0" w:leftChars="0" w:right="0" w:rightChars="0" w:firstLine="560" w:firstLineChars="200"/>
        <w:jc w:val="center"/>
        <w:textAlignment w:val="auto"/>
        <w:outlineLvl w:val="9"/>
        <w:rPr>
          <w:rFonts w:hint="eastAsia" w:ascii="仿宋_GB2312" w:hAnsi="仿宋" w:eastAsia="仿宋_GB2312" w:cs="仿宋"/>
          <w:sz w:val="32"/>
          <w:szCs w:val="32"/>
        </w:rPr>
      </w:pPr>
      <w:r>
        <w:rPr>
          <w:rStyle w:val="12"/>
          <w:rFonts w:hint="eastAsia" w:ascii="宋体"/>
          <w:b w:val="0"/>
          <w:kern w:val="0"/>
          <w:sz w:val="28"/>
          <w:szCs w:val="28"/>
        </w:rPr>
        <w:t>二〇一七</w:t>
      </w:r>
      <w:r>
        <w:rPr>
          <w:rFonts w:hint="eastAsia" w:ascii="仿宋_GB2312" w:hAnsi="仿宋" w:eastAsia="仿宋_GB2312" w:cs="仿宋"/>
          <w:sz w:val="32"/>
          <w:szCs w:val="32"/>
        </w:rPr>
        <w:t>年</w:t>
      </w:r>
      <w:r>
        <w:rPr>
          <w:rFonts w:hint="eastAsia" w:ascii="仿宋_GB2312" w:hAnsi="仿宋" w:eastAsia="仿宋_GB2312" w:cs="仿宋"/>
          <w:sz w:val="32"/>
          <w:szCs w:val="32"/>
          <w:lang w:eastAsia="zh-CN"/>
        </w:rPr>
        <w:t>七</w:t>
      </w:r>
      <w:r>
        <w:rPr>
          <w:rFonts w:hint="eastAsia" w:ascii="仿宋_GB2312" w:hAnsi="仿宋" w:eastAsia="仿宋_GB2312" w:cs="仿宋"/>
          <w:sz w:val="32"/>
          <w:szCs w:val="32"/>
        </w:rPr>
        <w:t>月</w:t>
      </w:r>
    </w:p>
    <w:p>
      <w:pPr>
        <w:keepNext w:val="0"/>
        <w:keepLines w:val="0"/>
        <w:pageBreakBefore w:val="0"/>
        <w:widowControl w:val="0"/>
        <w:kinsoku/>
        <w:wordWrap/>
        <w:overflowPunct/>
        <w:topLinePunct w:val="0"/>
        <w:autoSpaceDE w:val="0"/>
        <w:autoSpaceDN w:val="0"/>
        <w:bidi w:val="0"/>
        <w:adjustRightInd/>
        <w:snapToGrid/>
        <w:spacing w:line="600" w:lineRule="exact"/>
        <w:ind w:left="0" w:leftChars="0" w:right="0" w:rightChars="0" w:firstLine="0" w:firstLineChars="0"/>
        <w:jc w:val="center"/>
        <w:textAlignment w:val="auto"/>
        <w:outlineLvl w:val="9"/>
        <w:rPr>
          <w:rFonts w:hint="eastAsia" w:ascii="方正小标宋简体" w:hAnsi="方正小标宋简体" w:eastAsia="方正小标宋简体" w:cs="方正小标宋简体"/>
          <w:b w:val="0"/>
          <w:bCs w:val="0"/>
          <w:sz w:val="32"/>
          <w:szCs w:val="32"/>
        </w:rPr>
      </w:pPr>
    </w:p>
    <w:p>
      <w:pPr>
        <w:keepNext w:val="0"/>
        <w:keepLines w:val="0"/>
        <w:pageBreakBefore w:val="0"/>
        <w:widowControl w:val="0"/>
        <w:kinsoku/>
        <w:wordWrap/>
        <w:overflowPunct/>
        <w:topLinePunct w:val="0"/>
        <w:autoSpaceDE w:val="0"/>
        <w:autoSpaceDN w:val="0"/>
        <w:bidi w:val="0"/>
        <w:adjustRightInd/>
        <w:snapToGrid/>
        <w:spacing w:line="600" w:lineRule="exact"/>
        <w:ind w:left="0" w:leftChars="0" w:right="0" w:rightChars="0" w:firstLine="0" w:firstLineChars="0"/>
        <w:jc w:val="center"/>
        <w:textAlignment w:val="auto"/>
        <w:outlineLvl w:val="9"/>
        <w:rPr>
          <w:rFonts w:hint="eastAsia" w:ascii="方正小标宋简体" w:hAnsi="方正小标宋简体" w:eastAsia="方正小标宋简体" w:cs="方正小标宋简体"/>
          <w:b w:val="0"/>
          <w:bCs w:val="0"/>
          <w:sz w:val="32"/>
          <w:szCs w:val="32"/>
        </w:rPr>
      </w:pPr>
    </w:p>
    <w:p>
      <w:pPr>
        <w:keepNext w:val="0"/>
        <w:keepLines w:val="0"/>
        <w:pageBreakBefore w:val="0"/>
        <w:widowControl w:val="0"/>
        <w:kinsoku/>
        <w:wordWrap/>
        <w:overflowPunct/>
        <w:topLinePunct w:val="0"/>
        <w:autoSpaceDE w:val="0"/>
        <w:autoSpaceDN w:val="0"/>
        <w:bidi w:val="0"/>
        <w:adjustRightInd/>
        <w:snapToGrid/>
        <w:spacing w:line="600" w:lineRule="exact"/>
        <w:ind w:left="0" w:leftChars="0" w:right="0" w:rightChars="0" w:firstLine="0" w:firstLineChars="0"/>
        <w:jc w:val="center"/>
        <w:textAlignment w:val="auto"/>
        <w:outlineLvl w:val="9"/>
        <w:rPr>
          <w:rFonts w:hint="eastAsia" w:ascii="方正小标宋简体" w:hAnsi="方正小标宋简体" w:eastAsia="方正小标宋简体" w:cs="方正小标宋简体"/>
          <w:b w:val="0"/>
          <w:bCs w:val="0"/>
          <w:sz w:val="32"/>
          <w:szCs w:val="32"/>
        </w:rPr>
      </w:pPr>
      <w:r>
        <w:rPr>
          <w:rFonts w:hint="eastAsia" w:ascii="方正小标宋简体" w:hAnsi="方正小标宋简体" w:eastAsia="方正小标宋简体" w:cs="方正小标宋简体"/>
          <w:b w:val="0"/>
          <w:bCs w:val="0"/>
          <w:sz w:val="32"/>
          <w:szCs w:val="32"/>
        </w:rPr>
        <w:t>《</w:t>
      </w:r>
      <w:r>
        <w:rPr>
          <w:rFonts w:hint="eastAsia" w:ascii="方正小标宋简体" w:hAnsi="方正小标宋简体" w:eastAsia="方正小标宋简体" w:cs="方正小标宋简体"/>
          <w:b w:val="0"/>
          <w:bCs w:val="0"/>
          <w:sz w:val="32"/>
          <w:szCs w:val="32"/>
          <w:lang w:eastAsia="zh-CN"/>
        </w:rPr>
        <w:t>农资质量追溯体系建设规范</w:t>
      </w:r>
      <w:r>
        <w:rPr>
          <w:rFonts w:hint="eastAsia" w:ascii="方正小标宋简体" w:hAnsi="方正小标宋简体" w:eastAsia="方正小标宋简体" w:cs="方正小标宋简体"/>
          <w:b w:val="0"/>
          <w:bCs w:val="0"/>
          <w:sz w:val="32"/>
          <w:szCs w:val="32"/>
        </w:rPr>
        <w:t>》（征求意见稿）</w:t>
      </w:r>
    </w:p>
    <w:p>
      <w:pPr>
        <w:keepNext w:val="0"/>
        <w:keepLines w:val="0"/>
        <w:pageBreakBefore w:val="0"/>
        <w:widowControl w:val="0"/>
        <w:kinsoku/>
        <w:wordWrap/>
        <w:overflowPunct/>
        <w:topLinePunct w:val="0"/>
        <w:autoSpaceDE w:val="0"/>
        <w:autoSpaceDN w:val="0"/>
        <w:bidi w:val="0"/>
        <w:adjustRightInd/>
        <w:snapToGrid/>
        <w:spacing w:line="600" w:lineRule="exact"/>
        <w:ind w:left="0" w:leftChars="0" w:right="0" w:rightChars="0" w:firstLine="0" w:firstLineChars="0"/>
        <w:jc w:val="center"/>
        <w:textAlignment w:val="auto"/>
        <w:outlineLvl w:val="9"/>
        <w:rPr>
          <w:rFonts w:hint="eastAsia" w:ascii="方正小标宋简体" w:hAnsi="方正小标宋简体" w:eastAsia="方正小标宋简体" w:cs="方正小标宋简体"/>
          <w:b w:val="0"/>
          <w:bCs w:val="0"/>
          <w:sz w:val="36"/>
          <w:szCs w:val="36"/>
          <w:lang w:eastAsia="zh-CN"/>
        </w:rPr>
      </w:pPr>
      <w:r>
        <w:rPr>
          <w:rFonts w:hint="eastAsia" w:ascii="方正小标宋简体" w:hAnsi="方正小标宋简体" w:eastAsia="方正小标宋简体" w:cs="方正小标宋简体"/>
          <w:b w:val="0"/>
          <w:bCs w:val="0"/>
          <w:sz w:val="32"/>
          <w:szCs w:val="32"/>
          <w:lang w:eastAsia="zh-CN"/>
        </w:rPr>
        <w:t>编制说明</w:t>
      </w:r>
    </w:p>
    <w:p>
      <w:pPr>
        <w:keepNext w:val="0"/>
        <w:keepLines w:val="0"/>
        <w:pageBreakBefore w:val="0"/>
        <w:kinsoku/>
        <w:wordWrap/>
        <w:overflowPunct/>
        <w:topLinePunct w:val="0"/>
        <w:autoSpaceDE/>
        <w:autoSpaceDN/>
        <w:bidi w:val="0"/>
        <w:adjustRightInd/>
        <w:snapToGrid/>
        <w:spacing w:line="360" w:lineRule="auto"/>
        <w:ind w:left="0" w:leftChars="0" w:right="0" w:rightChars="0"/>
        <w:jc w:val="both"/>
        <w:textAlignment w:val="auto"/>
        <w:outlineLvl w:val="9"/>
        <w:rPr>
          <w:rFonts w:hint="eastAsia" w:ascii="宋体" w:hAnsi="宋体" w:eastAsia="宋体" w:cs="宋体"/>
          <w:color w:val="000000"/>
          <w:sz w:val="24"/>
          <w:szCs w:val="24"/>
        </w:rPr>
      </w:pPr>
      <w:bookmarkStart w:id="0" w:name="_Toc488678265"/>
    </w:p>
    <w:p>
      <w:pPr>
        <w:keepNext w:val="0"/>
        <w:keepLines w:val="0"/>
        <w:pageBreakBefore w:val="0"/>
        <w:kinsoku/>
        <w:wordWrap/>
        <w:overflowPunct/>
        <w:topLinePunct w:val="0"/>
        <w:autoSpaceDE/>
        <w:autoSpaceDN/>
        <w:bidi w:val="0"/>
        <w:adjustRightInd/>
        <w:snapToGrid/>
        <w:spacing w:line="360" w:lineRule="auto"/>
        <w:ind w:left="0" w:leftChars="0" w:right="0" w:rightChars="0"/>
        <w:jc w:val="both"/>
        <w:textAlignment w:val="auto"/>
        <w:outlineLvl w:val="9"/>
        <w:rPr>
          <w:rFonts w:hint="eastAsia" w:ascii="宋体" w:hAnsi="宋体" w:eastAsia="宋体" w:cs="宋体"/>
          <w:b/>
          <w:bCs/>
          <w:color w:val="000000"/>
          <w:sz w:val="24"/>
          <w:szCs w:val="24"/>
        </w:rPr>
      </w:pPr>
      <w:r>
        <w:rPr>
          <w:rFonts w:hint="eastAsia" w:ascii="宋体" w:hAnsi="宋体" w:eastAsia="宋体" w:cs="宋体"/>
          <w:b/>
          <w:bCs/>
          <w:color w:val="000000"/>
          <w:sz w:val="24"/>
          <w:szCs w:val="24"/>
        </w:rPr>
        <w:t>一、任务来源及计划要求</w:t>
      </w:r>
      <w:bookmarkEnd w:id="0"/>
    </w:p>
    <w:p>
      <w:pPr>
        <w:keepNext w:val="0"/>
        <w:keepLines w:val="0"/>
        <w:pageBreakBefore w:val="0"/>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依据中华全国供销合作总社下达的2014年度供销合作社行业标准制修订项目计划（供销科标便字〔2014〕21号），《农资质量追溯体系建设规范》行业标准的项目计划编号为2014GH-1-017。本标准由中华全国供销合作总社科技教育部、农业生产资料局提出并归口，由中国农业生产资料流通协会、中科院合肥技术创新工程院等单位负责起草。本标准是新制定的标准。</w:t>
      </w:r>
    </w:p>
    <w:p>
      <w:pPr>
        <w:keepNext w:val="0"/>
        <w:keepLines w:val="0"/>
        <w:pageBreakBefore w:val="0"/>
        <w:kinsoku/>
        <w:wordWrap/>
        <w:overflowPunct/>
        <w:topLinePunct w:val="0"/>
        <w:autoSpaceDE/>
        <w:autoSpaceDN/>
        <w:bidi w:val="0"/>
        <w:adjustRightInd/>
        <w:snapToGrid/>
        <w:spacing w:line="360" w:lineRule="auto"/>
        <w:ind w:left="0" w:leftChars="0" w:right="0" w:rightChars="0"/>
        <w:textAlignment w:val="auto"/>
        <w:outlineLvl w:val="9"/>
        <w:rPr>
          <w:rFonts w:hint="eastAsia" w:ascii="宋体" w:hAnsi="宋体" w:eastAsia="宋体" w:cs="宋体"/>
          <w:b/>
          <w:bCs/>
          <w:color w:val="000000"/>
          <w:sz w:val="24"/>
          <w:szCs w:val="24"/>
        </w:rPr>
      </w:pPr>
      <w:bookmarkStart w:id="1" w:name="_Toc488678266"/>
      <w:r>
        <w:rPr>
          <w:rFonts w:hint="eastAsia" w:ascii="宋体" w:hAnsi="宋体" w:eastAsia="宋体" w:cs="宋体"/>
          <w:b/>
          <w:bCs/>
          <w:color w:val="000000"/>
          <w:sz w:val="24"/>
          <w:szCs w:val="24"/>
        </w:rPr>
        <w:t>二、标准制定的目的和意义</w:t>
      </w:r>
      <w:bookmarkEnd w:id="1"/>
    </w:p>
    <w:p>
      <w:pPr>
        <w:keepNext w:val="0"/>
        <w:keepLines w:val="0"/>
        <w:pageBreakBefore w:val="0"/>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目前，我国农资流通市场发展还处于较初级的水平，存在假劣产品屡禁不止，农资打假难度大、成本高、效果差等问题，其根本原因在于农资流通管理手段比较落后、农资市场监管体制不甚完善。因此，要保证农资产品质量，从根本上和体系上减少和杜绝假冒伪劣的现象，必须利用现代信息技术手段，建立农资质量追溯体系，实现农资产品可识别、状态可记录、信息可查询、去向可追踪。</w:t>
      </w:r>
    </w:p>
    <w:p>
      <w:pPr>
        <w:keepNext w:val="0"/>
        <w:keepLines w:val="0"/>
        <w:pageBreakBefore w:val="0"/>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农资质量安全追溯涉及到生产、加工、流通、销售和消费等多个环节，而按照国家相关规定，不同环节的质量安全问题由不同的部门进行监管，目前并没有统一的标准体系。</w:t>
      </w:r>
    </w:p>
    <w:p>
      <w:pPr>
        <w:keepNext w:val="0"/>
        <w:keepLines w:val="0"/>
        <w:pageBreakBefore w:val="0"/>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标准的缺失对于建立农资质量追溯体系极为不利，需建立农资质量追溯标准体系，规范农资物流编码、产地编码的编码格式、统一编码设计；制定农资质量追溯操作规程，扩大标准覆盖面；制定质量追溯信息交换规范。只有建立统一的追溯标准体系，才能使得不同环节有效对接，信息实现共享，做到真正意义上的全程追溯。</w:t>
      </w:r>
    </w:p>
    <w:p>
      <w:pPr>
        <w:keepNext w:val="0"/>
        <w:keepLines w:val="0"/>
        <w:pageBreakBefore w:val="0"/>
        <w:kinsoku/>
        <w:wordWrap/>
        <w:overflowPunct/>
        <w:topLinePunct w:val="0"/>
        <w:autoSpaceDE/>
        <w:autoSpaceDN/>
        <w:bidi w:val="0"/>
        <w:adjustRightInd/>
        <w:snapToGrid/>
        <w:spacing w:line="360" w:lineRule="auto"/>
        <w:ind w:left="0" w:leftChars="0" w:right="0" w:rightChars="0"/>
        <w:textAlignment w:val="auto"/>
        <w:outlineLvl w:val="9"/>
        <w:rPr>
          <w:rFonts w:hint="eastAsia" w:ascii="宋体" w:hAnsi="宋体" w:eastAsia="宋体" w:cs="宋体"/>
          <w:b/>
          <w:bCs/>
          <w:color w:val="000000"/>
          <w:sz w:val="24"/>
          <w:szCs w:val="24"/>
        </w:rPr>
      </w:pPr>
      <w:bookmarkStart w:id="2" w:name="_Toc488678267"/>
      <w:r>
        <w:rPr>
          <w:rFonts w:hint="eastAsia" w:ascii="宋体" w:hAnsi="宋体" w:eastAsia="宋体" w:cs="宋体"/>
          <w:b/>
          <w:bCs/>
          <w:color w:val="000000"/>
          <w:sz w:val="24"/>
          <w:szCs w:val="24"/>
        </w:rPr>
        <w:t>三、本标准的编制原则</w:t>
      </w:r>
      <w:bookmarkEnd w:id="2"/>
    </w:p>
    <w:p>
      <w:pPr>
        <w:keepNext w:val="0"/>
        <w:keepLines w:val="0"/>
        <w:pageBreakBefore w:val="0"/>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农资质量追溯涉及追溯单元的物流与信息流之间的关联。为了实现整个农资质量系统的可追溯性，所有追溯参与方应实现防窜货追溯和防伪追溯。从技术和经济角度考虑，农资质量追溯体系能实现要达到的目标；满足客户要求；便于验证农资的特定信息；满足当地、区域、国家、国际法规或政策要求。</w:t>
      </w:r>
    </w:p>
    <w:p>
      <w:pPr>
        <w:keepNext w:val="0"/>
        <w:keepLines w:val="0"/>
        <w:pageBreakBefore w:val="0"/>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标准编制时遵循以下基本原则：</w:t>
      </w:r>
    </w:p>
    <w:p>
      <w:pPr>
        <w:keepNext w:val="0"/>
        <w:keepLines w:val="0"/>
        <w:pageBreakBefore w:val="0"/>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宋体" w:hAnsi="宋体" w:eastAsia="宋体" w:cs="宋体"/>
          <w:sz w:val="24"/>
          <w:szCs w:val="24"/>
        </w:rPr>
      </w:pPr>
      <w:r>
        <w:rPr>
          <w:rFonts w:hint="eastAsia" w:ascii="宋体" w:hAnsi="宋体" w:eastAsia="宋体" w:cs="宋体"/>
          <w:color w:val="000000"/>
          <w:sz w:val="24"/>
          <w:szCs w:val="24"/>
        </w:rPr>
        <w:t>1、</w:t>
      </w:r>
      <w:r>
        <w:rPr>
          <w:rFonts w:hint="eastAsia" w:ascii="宋体" w:hAnsi="宋体" w:eastAsia="宋体" w:cs="宋体"/>
          <w:sz w:val="24"/>
          <w:szCs w:val="24"/>
        </w:rPr>
        <w:t>易操作</w:t>
      </w:r>
    </w:p>
    <w:p>
      <w:pPr>
        <w:keepNext w:val="0"/>
        <w:keepLines w:val="0"/>
        <w:pageBreakBefore w:val="0"/>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宋体" w:hAnsi="宋体" w:eastAsia="宋体" w:cs="宋体"/>
          <w:sz w:val="24"/>
          <w:szCs w:val="24"/>
        </w:rPr>
      </w:pPr>
      <w:r>
        <w:rPr>
          <w:rFonts w:hint="eastAsia" w:ascii="宋体" w:hAnsi="宋体" w:eastAsia="宋体" w:cs="宋体"/>
          <w:color w:val="000000"/>
          <w:sz w:val="24"/>
          <w:szCs w:val="24"/>
        </w:rPr>
        <w:t>2、</w:t>
      </w:r>
      <w:r>
        <w:rPr>
          <w:rFonts w:hint="eastAsia" w:ascii="宋体" w:hAnsi="宋体" w:eastAsia="宋体" w:cs="宋体"/>
          <w:sz w:val="24"/>
          <w:szCs w:val="24"/>
        </w:rPr>
        <w:t>可验证</w:t>
      </w:r>
    </w:p>
    <w:p>
      <w:pPr>
        <w:keepNext w:val="0"/>
        <w:keepLines w:val="0"/>
        <w:pageBreakBefore w:val="0"/>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宋体" w:hAnsi="宋体" w:eastAsia="宋体" w:cs="宋体"/>
          <w:sz w:val="24"/>
          <w:szCs w:val="24"/>
        </w:rPr>
      </w:pPr>
      <w:r>
        <w:rPr>
          <w:rFonts w:hint="eastAsia" w:ascii="宋体" w:hAnsi="宋体" w:eastAsia="宋体" w:cs="宋体"/>
          <w:color w:val="000000"/>
          <w:sz w:val="24"/>
          <w:szCs w:val="24"/>
        </w:rPr>
        <w:t>3、</w:t>
      </w:r>
      <w:r>
        <w:rPr>
          <w:rFonts w:hint="eastAsia" w:ascii="宋体" w:hAnsi="宋体" w:eastAsia="宋体" w:cs="宋体"/>
          <w:sz w:val="24"/>
          <w:szCs w:val="24"/>
        </w:rPr>
        <w:t>连贯合理</w:t>
      </w:r>
    </w:p>
    <w:p>
      <w:pPr>
        <w:keepNext w:val="0"/>
        <w:keepLines w:val="0"/>
        <w:pageBreakBefore w:val="0"/>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宋体" w:hAnsi="宋体" w:eastAsia="宋体" w:cs="宋体"/>
          <w:sz w:val="24"/>
          <w:szCs w:val="24"/>
        </w:rPr>
      </w:pPr>
      <w:r>
        <w:rPr>
          <w:rFonts w:hint="eastAsia" w:ascii="宋体" w:hAnsi="宋体" w:eastAsia="宋体" w:cs="宋体"/>
          <w:color w:val="000000"/>
          <w:sz w:val="24"/>
          <w:szCs w:val="24"/>
        </w:rPr>
        <w:t>4、</w:t>
      </w:r>
      <w:r>
        <w:rPr>
          <w:rFonts w:hint="eastAsia" w:ascii="宋体" w:hAnsi="宋体" w:eastAsia="宋体" w:cs="宋体"/>
          <w:sz w:val="24"/>
          <w:szCs w:val="24"/>
        </w:rPr>
        <w:t>注重结果</w:t>
      </w:r>
    </w:p>
    <w:p>
      <w:pPr>
        <w:keepNext w:val="0"/>
        <w:keepLines w:val="0"/>
        <w:pageBreakBefore w:val="0"/>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宋体" w:hAnsi="宋体" w:eastAsia="宋体" w:cs="宋体"/>
          <w:sz w:val="24"/>
          <w:szCs w:val="24"/>
        </w:rPr>
      </w:pPr>
      <w:r>
        <w:rPr>
          <w:rFonts w:hint="eastAsia" w:ascii="宋体" w:hAnsi="宋体" w:eastAsia="宋体" w:cs="宋体"/>
          <w:color w:val="000000"/>
          <w:sz w:val="24"/>
          <w:szCs w:val="24"/>
        </w:rPr>
        <w:t>5、</w:t>
      </w:r>
      <w:r>
        <w:rPr>
          <w:rFonts w:hint="eastAsia" w:ascii="宋体" w:hAnsi="宋体" w:eastAsia="宋体" w:cs="宋体"/>
          <w:sz w:val="24"/>
          <w:szCs w:val="24"/>
        </w:rPr>
        <w:t>成本经济</w:t>
      </w:r>
    </w:p>
    <w:p>
      <w:pPr>
        <w:keepNext w:val="0"/>
        <w:keepLines w:val="0"/>
        <w:pageBreakBefore w:val="0"/>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宋体" w:hAnsi="宋体" w:eastAsia="宋体" w:cs="宋体"/>
          <w:sz w:val="24"/>
          <w:szCs w:val="24"/>
        </w:rPr>
      </w:pPr>
      <w:r>
        <w:rPr>
          <w:rFonts w:hint="eastAsia" w:ascii="宋体" w:hAnsi="宋体" w:eastAsia="宋体" w:cs="宋体"/>
          <w:color w:val="000000"/>
          <w:sz w:val="24"/>
          <w:szCs w:val="24"/>
        </w:rPr>
        <w:t>6、</w:t>
      </w:r>
      <w:r>
        <w:rPr>
          <w:rFonts w:hint="eastAsia" w:ascii="宋体" w:hAnsi="宋体" w:eastAsia="宋体" w:cs="宋体"/>
          <w:sz w:val="24"/>
          <w:szCs w:val="24"/>
        </w:rPr>
        <w:t>符合预期的准确度要求</w:t>
      </w:r>
    </w:p>
    <w:p>
      <w:pPr>
        <w:keepNext w:val="0"/>
        <w:keepLines w:val="0"/>
        <w:pageBreakBefore w:val="0"/>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标准制定应达到以下基本要求：</w:t>
      </w:r>
    </w:p>
    <w:p>
      <w:pPr>
        <w:keepNext w:val="0"/>
        <w:keepLines w:val="0"/>
        <w:pageBreakBefore w:val="0"/>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宋体" w:hAnsi="宋体" w:eastAsia="宋体" w:cs="宋体"/>
          <w:sz w:val="24"/>
          <w:szCs w:val="24"/>
        </w:rPr>
      </w:pPr>
      <w:r>
        <w:rPr>
          <w:rFonts w:hint="eastAsia" w:ascii="宋体" w:hAnsi="宋体" w:eastAsia="宋体" w:cs="宋体"/>
          <w:color w:val="000000"/>
          <w:sz w:val="24"/>
          <w:szCs w:val="24"/>
        </w:rPr>
        <w:t>1、</w:t>
      </w:r>
      <w:r>
        <w:rPr>
          <w:rFonts w:hint="eastAsia" w:ascii="宋体" w:hAnsi="宋体" w:eastAsia="宋体" w:cs="宋体"/>
          <w:sz w:val="24"/>
          <w:szCs w:val="24"/>
        </w:rPr>
        <w:t>为保证农资在全国乃至全球范围内的可追溯性，编码和标识应采用国际标准或国家标准。</w:t>
      </w:r>
    </w:p>
    <w:p>
      <w:pPr>
        <w:keepNext w:val="0"/>
        <w:keepLines w:val="0"/>
        <w:pageBreakBefore w:val="0"/>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宋体" w:hAnsi="宋体" w:eastAsia="宋体" w:cs="宋体"/>
          <w:sz w:val="24"/>
          <w:szCs w:val="24"/>
        </w:rPr>
      </w:pPr>
      <w:r>
        <w:rPr>
          <w:rFonts w:hint="eastAsia" w:ascii="宋体" w:hAnsi="宋体" w:eastAsia="宋体" w:cs="宋体"/>
          <w:color w:val="000000"/>
          <w:sz w:val="24"/>
          <w:szCs w:val="24"/>
        </w:rPr>
        <w:t>2、</w:t>
      </w:r>
      <w:r>
        <w:rPr>
          <w:rFonts w:hint="eastAsia" w:ascii="宋体" w:hAnsi="宋体" w:eastAsia="宋体" w:cs="宋体"/>
          <w:sz w:val="24"/>
          <w:szCs w:val="24"/>
        </w:rPr>
        <w:t>追溯参与方应对农资、物流单元、位置进行唯一标识。</w:t>
      </w:r>
    </w:p>
    <w:p>
      <w:pPr>
        <w:keepNext w:val="0"/>
        <w:keepLines w:val="0"/>
        <w:pageBreakBefore w:val="0"/>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宋体" w:hAnsi="宋体" w:eastAsia="宋体" w:cs="宋体"/>
          <w:sz w:val="24"/>
          <w:szCs w:val="24"/>
        </w:rPr>
      </w:pPr>
      <w:r>
        <w:rPr>
          <w:rFonts w:hint="eastAsia" w:ascii="宋体" w:hAnsi="宋体" w:eastAsia="宋体" w:cs="宋体"/>
          <w:color w:val="000000"/>
          <w:sz w:val="24"/>
          <w:szCs w:val="24"/>
        </w:rPr>
        <w:t>3、</w:t>
      </w:r>
      <w:r>
        <w:rPr>
          <w:rFonts w:hint="eastAsia" w:ascii="宋体" w:hAnsi="宋体" w:eastAsia="宋体" w:cs="宋体"/>
          <w:sz w:val="24"/>
          <w:szCs w:val="24"/>
        </w:rPr>
        <w:t>追溯参与方应采集并记录追溯数据。</w:t>
      </w:r>
    </w:p>
    <w:p>
      <w:pPr>
        <w:keepNext w:val="0"/>
        <w:keepLines w:val="0"/>
        <w:pageBreakBefore w:val="0"/>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宋体" w:hAnsi="宋体" w:eastAsia="宋体" w:cs="宋体"/>
          <w:sz w:val="24"/>
          <w:szCs w:val="24"/>
        </w:rPr>
      </w:pPr>
      <w:r>
        <w:rPr>
          <w:rFonts w:hint="eastAsia" w:ascii="宋体" w:hAnsi="宋体" w:eastAsia="宋体" w:cs="宋体"/>
          <w:color w:val="000000"/>
          <w:sz w:val="24"/>
          <w:szCs w:val="24"/>
        </w:rPr>
        <w:t>4、</w:t>
      </w:r>
      <w:r>
        <w:rPr>
          <w:rFonts w:hint="eastAsia" w:ascii="宋体" w:hAnsi="宋体" w:eastAsia="宋体" w:cs="宋体"/>
          <w:sz w:val="24"/>
          <w:szCs w:val="24"/>
        </w:rPr>
        <w:t>追溯参与方之间应共享追溯数据。</w:t>
      </w:r>
    </w:p>
    <w:p>
      <w:pPr>
        <w:keepNext w:val="0"/>
        <w:keepLines w:val="0"/>
        <w:pageBreakBefore w:val="0"/>
        <w:kinsoku/>
        <w:wordWrap/>
        <w:overflowPunct/>
        <w:topLinePunct w:val="0"/>
        <w:autoSpaceDE/>
        <w:autoSpaceDN/>
        <w:bidi w:val="0"/>
        <w:adjustRightInd/>
        <w:snapToGrid/>
        <w:spacing w:line="360" w:lineRule="auto"/>
        <w:ind w:left="0" w:leftChars="0" w:right="0" w:rightChars="0"/>
        <w:textAlignment w:val="auto"/>
        <w:outlineLvl w:val="9"/>
        <w:rPr>
          <w:rFonts w:hint="eastAsia" w:ascii="宋体" w:hAnsi="宋体" w:eastAsia="宋体" w:cs="宋体"/>
          <w:b/>
          <w:bCs/>
          <w:color w:val="000000"/>
          <w:sz w:val="24"/>
          <w:szCs w:val="24"/>
        </w:rPr>
      </w:pPr>
      <w:bookmarkStart w:id="3" w:name="_Toc488678268"/>
      <w:r>
        <w:rPr>
          <w:rFonts w:hint="eastAsia" w:ascii="宋体" w:hAnsi="宋体" w:eastAsia="宋体" w:cs="宋体"/>
          <w:b/>
          <w:bCs/>
          <w:color w:val="000000"/>
          <w:sz w:val="24"/>
          <w:szCs w:val="24"/>
        </w:rPr>
        <w:t>四、确定本标准主要内容的依据</w:t>
      </w:r>
      <w:bookmarkEnd w:id="3"/>
    </w:p>
    <w:p>
      <w:pPr>
        <w:keepNext w:val="0"/>
        <w:keepLines w:val="0"/>
        <w:pageBreakBefore w:val="0"/>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目前，国际和国内已经存在一些农产品相关追溯标准，如国际标准化组织制定的IS022000族标准；国际物品编码协会制定的GS1族标准。2005年开始，国家质检总局针对行业也出台了《出境水产品溯源规程(试行)》和《出境养殖水产品检验检疫和监管要求(试行)》；国家食品药品监督管理局出台《肉类制品跟踪与追溯应用指南》和《生鲜产品跟踪与追溯应用指南》。农资质量追溯体系建设规范标准将以相关编码和追溯规程为指导，建立适用于农资行业的农资质量追溯体系建设规范标准。</w:t>
      </w:r>
    </w:p>
    <w:p>
      <w:pPr>
        <w:keepNext w:val="0"/>
        <w:keepLines w:val="0"/>
        <w:pageBreakBefore w:val="0"/>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参考文件：</w:t>
      </w:r>
    </w:p>
    <w:p>
      <w:pPr>
        <w:keepNext w:val="0"/>
        <w:keepLines w:val="0"/>
        <w:pageBreakBefore w:val="0"/>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GB 12904 商品条码 零售商品编码与条码表示</w:t>
      </w:r>
    </w:p>
    <w:p>
      <w:pPr>
        <w:keepNext w:val="0"/>
        <w:keepLines w:val="0"/>
        <w:pageBreakBefore w:val="0"/>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GB/T 12905 条码术语</w:t>
      </w:r>
    </w:p>
    <w:p>
      <w:pPr>
        <w:keepNext w:val="0"/>
        <w:keepLines w:val="0"/>
        <w:pageBreakBefore w:val="0"/>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GB/T 16828 商品条码 参与方位置编码与条码表示</w:t>
      </w:r>
    </w:p>
    <w:p>
      <w:pPr>
        <w:keepNext w:val="0"/>
        <w:keepLines w:val="0"/>
        <w:pageBreakBefore w:val="0"/>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GB/T 16830 商品条码 储运包装商品编码与条码表示</w:t>
      </w:r>
    </w:p>
    <w:p>
      <w:pPr>
        <w:keepNext w:val="0"/>
        <w:keepLines w:val="0"/>
        <w:pageBreakBefore w:val="0"/>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GB/T 18127 商品条码 物流单元编码与条码表示</w:t>
      </w:r>
    </w:p>
    <w:p>
      <w:pPr>
        <w:keepNext w:val="0"/>
        <w:keepLines w:val="0"/>
        <w:pageBreakBefore w:val="0"/>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GB/T 22000-2006 食品安全管理体系 食品链中各类组织的要求（ISO 22000：2005，IDT）</w:t>
      </w:r>
    </w:p>
    <w:p>
      <w:pPr>
        <w:keepNext w:val="0"/>
        <w:keepLines w:val="0"/>
        <w:pageBreakBefore w:val="0"/>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GB/T 25008-2010 饲料和食品链的可追溯性 体系设计与实施指南</w:t>
      </w:r>
    </w:p>
    <w:p>
      <w:pPr>
        <w:keepNext w:val="0"/>
        <w:keepLines w:val="0"/>
        <w:pageBreakBefore w:val="0"/>
        <w:kinsoku/>
        <w:wordWrap/>
        <w:overflowPunct/>
        <w:topLinePunct w:val="0"/>
        <w:autoSpaceDE/>
        <w:autoSpaceDN/>
        <w:bidi w:val="0"/>
        <w:adjustRightInd/>
        <w:snapToGrid/>
        <w:spacing w:line="360" w:lineRule="auto"/>
        <w:ind w:left="0" w:leftChars="0" w:right="0" w:rightChars="0"/>
        <w:textAlignment w:val="auto"/>
        <w:outlineLvl w:val="9"/>
        <w:rPr>
          <w:rFonts w:hint="eastAsia" w:ascii="宋体" w:hAnsi="宋体" w:eastAsia="宋体" w:cs="宋体"/>
          <w:b/>
          <w:bCs/>
          <w:i w:val="0"/>
          <w:iCs w:val="0"/>
          <w:color w:val="000000"/>
          <w:sz w:val="24"/>
          <w:szCs w:val="24"/>
        </w:rPr>
      </w:pPr>
      <w:bookmarkStart w:id="4" w:name="_Toc488678269"/>
      <w:r>
        <w:rPr>
          <w:rFonts w:hint="eastAsia" w:ascii="宋体" w:hAnsi="宋体" w:eastAsia="宋体" w:cs="宋体"/>
          <w:b/>
          <w:bCs/>
          <w:i w:val="0"/>
          <w:iCs w:val="0"/>
          <w:color w:val="000000"/>
          <w:sz w:val="24"/>
          <w:szCs w:val="24"/>
        </w:rPr>
        <w:t>五、标准的研究、起草过程</w:t>
      </w:r>
      <w:bookmarkEnd w:id="4"/>
    </w:p>
    <w:p>
      <w:pPr>
        <w:keepNext w:val="0"/>
        <w:keepLines w:val="0"/>
        <w:pageBreakBefore w:val="0"/>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根据项目要求，标准编制组制定了工作计划，主要工作过程及其进度严格按计划进行。标准编制组首先进行了大量的调研、考察，先后到安徽、浙江、吉林、河北、江苏、福建、江西等地详细调研，对以上地区供销社及农资经营企业实践经验进行总结，分析国内、国际标准编制规范，并结合项目本身的要求展开研讨，为标准初稿的起草提供了坚实的基础。</w:t>
      </w:r>
    </w:p>
    <w:p>
      <w:pPr>
        <w:keepNext w:val="0"/>
        <w:keepLines w:val="0"/>
        <w:pageBreakBefore w:val="0"/>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在标准初稿形成之后，标准编制组于2016年11月在江苏无锡召开了部分行业专家及标准专家的研讨会，与会代表积极发言，对标准具体内容进行了大量和务实的研讨，为标准的编制提供了强大的支持。在以上工作的基础上，标准编制组经过多次的内部研讨、修改，确定了标准征求意见稿。</w:t>
      </w:r>
    </w:p>
    <w:p>
      <w:pPr>
        <w:keepNext w:val="0"/>
        <w:keepLines w:val="0"/>
        <w:pageBreakBefore w:val="0"/>
        <w:kinsoku/>
        <w:wordWrap/>
        <w:overflowPunct/>
        <w:topLinePunct w:val="0"/>
        <w:autoSpaceDE/>
        <w:autoSpaceDN/>
        <w:bidi w:val="0"/>
        <w:adjustRightInd/>
        <w:snapToGrid/>
        <w:spacing w:line="360" w:lineRule="auto"/>
        <w:ind w:left="0" w:leftChars="0" w:right="0" w:rightChars="0"/>
        <w:textAlignment w:val="auto"/>
        <w:outlineLvl w:val="9"/>
        <w:rPr>
          <w:rFonts w:hint="eastAsia" w:ascii="宋体" w:hAnsi="宋体" w:eastAsia="宋体" w:cs="宋体"/>
          <w:b/>
          <w:bCs/>
          <w:color w:val="000000"/>
          <w:sz w:val="24"/>
          <w:szCs w:val="24"/>
        </w:rPr>
      </w:pPr>
      <w:bookmarkStart w:id="5" w:name="_Toc488678270"/>
      <w:r>
        <w:rPr>
          <w:rFonts w:hint="eastAsia" w:ascii="宋体" w:hAnsi="宋体" w:eastAsia="宋体" w:cs="宋体"/>
          <w:b/>
          <w:bCs/>
          <w:color w:val="000000"/>
          <w:sz w:val="24"/>
          <w:szCs w:val="24"/>
        </w:rPr>
        <w:t>六、标准的主要内容</w:t>
      </w:r>
      <w:bookmarkEnd w:id="5"/>
    </w:p>
    <w:p>
      <w:pPr>
        <w:keepNext w:val="0"/>
        <w:keepLines w:val="0"/>
        <w:pageBreakBefore w:val="0"/>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本标准分为6部分，主要内容如下：</w:t>
      </w:r>
    </w:p>
    <w:p>
      <w:pPr>
        <w:keepNext w:val="0"/>
        <w:keepLines w:val="0"/>
        <w:pageBreakBefore w:val="0"/>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1、范围</w:t>
      </w:r>
    </w:p>
    <w:p>
      <w:pPr>
        <w:keepNext w:val="0"/>
        <w:keepLines w:val="0"/>
        <w:pageBreakBefore w:val="0"/>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介绍本标准的主要内容以及本标准所适用的领域。</w:t>
      </w:r>
    </w:p>
    <w:p>
      <w:pPr>
        <w:keepNext w:val="0"/>
        <w:keepLines w:val="0"/>
        <w:pageBreakBefore w:val="0"/>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2、规范性引用文件</w:t>
      </w:r>
    </w:p>
    <w:p>
      <w:pPr>
        <w:keepNext w:val="0"/>
        <w:keepLines w:val="0"/>
        <w:pageBreakBefore w:val="0"/>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本标准主要参考和引用的标准如下。凡是注日期的引用文件，其随后所有的修改单（不包括勘误的内容）或修订版均不适用于本标准，然而，鼓励根据本标准达成协议的各方研究是否可使用这些文件的最新版本。凡是不注日期的引用文件，其最新版本适用于本标准。</w:t>
      </w:r>
    </w:p>
    <w:p>
      <w:pPr>
        <w:keepNext w:val="0"/>
        <w:keepLines w:val="0"/>
        <w:pageBreakBefore w:val="0"/>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GB 12904 商品条码 零售商品编码与条码表示</w:t>
      </w:r>
    </w:p>
    <w:p>
      <w:pPr>
        <w:keepNext w:val="0"/>
        <w:keepLines w:val="0"/>
        <w:pageBreakBefore w:val="0"/>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GH/T 1086-2013 农资电子代码编码规则</w:t>
      </w:r>
    </w:p>
    <w:p>
      <w:pPr>
        <w:keepNext w:val="0"/>
        <w:keepLines w:val="0"/>
        <w:pageBreakBefore w:val="0"/>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GB/T 22000-2006 农资质量管理体系 农资链中各类组织的要求（ISO 22000：2005，IDT）</w:t>
      </w:r>
    </w:p>
    <w:p>
      <w:pPr>
        <w:keepNext w:val="0"/>
        <w:keepLines w:val="0"/>
        <w:pageBreakBefore w:val="0"/>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GB/T 25008-2010农资链的可追溯性 体系设计与实施指南</w:t>
      </w:r>
    </w:p>
    <w:p>
      <w:pPr>
        <w:keepNext w:val="0"/>
        <w:keepLines w:val="0"/>
        <w:pageBreakBefore w:val="0"/>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GB/T 22005-2009农资链的可追溯性体系设计与实施的通用原则和基本要求（ISO 22005:2007）</w:t>
      </w:r>
    </w:p>
    <w:p>
      <w:pPr>
        <w:keepNext w:val="0"/>
        <w:keepLines w:val="0"/>
        <w:pageBreakBefore w:val="0"/>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3、术语和定义</w:t>
      </w:r>
    </w:p>
    <w:p>
      <w:pPr>
        <w:keepNext w:val="0"/>
        <w:keepLines w:val="0"/>
        <w:pageBreakBefore w:val="0"/>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为了规范农资质量追溯体系建设规范，本章对“可追溯性、可追溯体系、追溯单元、防伪追溯”等术语进行了定义。</w:t>
      </w:r>
    </w:p>
    <w:p>
      <w:pPr>
        <w:keepNext w:val="0"/>
        <w:keepLines w:val="0"/>
        <w:pageBreakBefore w:val="0"/>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4、农资质量追溯体系的原则和要求</w:t>
      </w:r>
    </w:p>
    <w:p>
      <w:pPr>
        <w:keepNext w:val="0"/>
        <w:keepLines w:val="0"/>
        <w:pageBreakBefore w:val="0"/>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本章从总则、基本原则、基本要求三个方面对农资质量追溯系统体系建立的原则和要求进行了阐述。</w:t>
      </w:r>
    </w:p>
    <w:p>
      <w:pPr>
        <w:keepNext w:val="0"/>
        <w:keepLines w:val="0"/>
        <w:pageBreakBefore w:val="0"/>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5、农资质量安全追溯体系设计</w:t>
      </w:r>
    </w:p>
    <w:p>
      <w:pPr>
        <w:keepNext w:val="0"/>
        <w:keepLines w:val="0"/>
        <w:pageBreakBefore w:val="0"/>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本章详细介绍了农资质量追溯体系设计，其遵循国际通行的“向前一步，向后一步”的追溯理念，即每个组织只需要向前溯源到商品直接来源，向后追踪到产品的直接去向。具体包括以下步骤：确定追溯单元、明确组织在质量追溯链中的环节、明确农资的流向、确定信息要求、系统功能确定与实现等。</w:t>
      </w:r>
    </w:p>
    <w:p>
      <w:pPr>
        <w:keepNext w:val="0"/>
        <w:keepLines w:val="0"/>
        <w:pageBreakBefore w:val="0"/>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本章对这些内容做了相关规定。</w:t>
      </w:r>
    </w:p>
    <w:p>
      <w:pPr>
        <w:keepNext w:val="0"/>
        <w:keepLines w:val="0"/>
        <w:pageBreakBefore w:val="0"/>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6、农资质量安全追溯体系的实施</w:t>
      </w:r>
    </w:p>
    <w:p>
      <w:pPr>
        <w:keepNext w:val="0"/>
        <w:keepLines w:val="0"/>
        <w:pageBreakBefore w:val="0"/>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本章详细介绍了农资质量追溯体系的实施过程，按照实施顺序包括明确可追溯计划、明确人员职责、制定培训计划、建立监管方案、内审及评审与改进等7个环节。</w:t>
      </w:r>
    </w:p>
    <w:p>
      <w:pPr>
        <w:keepNext w:val="0"/>
        <w:keepLines w:val="0"/>
        <w:pageBreakBefore w:val="0"/>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本章对各个环节的实施内容做了相关规定。</w:t>
      </w:r>
    </w:p>
    <w:p>
      <w:pPr>
        <w:keepNext w:val="0"/>
        <w:keepLines w:val="0"/>
        <w:pageBreakBefore w:val="0"/>
        <w:kinsoku/>
        <w:wordWrap/>
        <w:overflowPunct/>
        <w:topLinePunct w:val="0"/>
        <w:autoSpaceDE/>
        <w:autoSpaceDN/>
        <w:bidi w:val="0"/>
        <w:adjustRightInd/>
        <w:snapToGrid/>
        <w:spacing w:line="360" w:lineRule="auto"/>
        <w:ind w:left="0" w:leftChars="0" w:right="0" w:rightChars="0" w:firstLine="410" w:firstLineChars="171"/>
        <w:jc w:val="left"/>
        <w:textAlignment w:val="auto"/>
        <w:outlineLvl w:val="9"/>
        <w:rPr>
          <w:rFonts w:hint="eastAsia" w:ascii="宋体" w:hAnsi="宋体" w:eastAsia="宋体" w:cs="宋体"/>
          <w:sz w:val="24"/>
          <w:szCs w:val="24"/>
        </w:rPr>
      </w:pPr>
    </w:p>
    <w:p>
      <w:pPr>
        <w:keepNext w:val="0"/>
        <w:keepLines w:val="0"/>
        <w:pageBreakBefore w:val="0"/>
        <w:kinsoku/>
        <w:wordWrap/>
        <w:overflowPunct/>
        <w:topLinePunct w:val="0"/>
        <w:autoSpaceDE/>
        <w:autoSpaceDN/>
        <w:bidi w:val="0"/>
        <w:adjustRightInd/>
        <w:snapToGrid/>
        <w:spacing w:line="360" w:lineRule="auto"/>
        <w:ind w:right="0" w:rightChars="0"/>
        <w:jc w:val="left"/>
        <w:textAlignment w:val="auto"/>
        <w:outlineLvl w:val="9"/>
        <w:rPr>
          <w:rFonts w:hint="eastAsia" w:ascii="宋体" w:hAnsi="宋体" w:eastAsia="宋体" w:cs="宋体"/>
          <w:sz w:val="24"/>
          <w:szCs w:val="24"/>
        </w:rPr>
      </w:pPr>
    </w:p>
    <w:p>
      <w:pPr>
        <w:keepNext w:val="0"/>
        <w:keepLines w:val="0"/>
        <w:pageBreakBefore w:val="0"/>
        <w:kinsoku/>
        <w:wordWrap/>
        <w:overflowPunct/>
        <w:topLinePunct w:val="0"/>
        <w:autoSpaceDE/>
        <w:autoSpaceDN/>
        <w:bidi w:val="0"/>
        <w:adjustRightInd/>
        <w:snapToGrid/>
        <w:spacing w:line="360" w:lineRule="auto"/>
        <w:ind w:left="0" w:leftChars="0" w:right="0" w:rightChars="0" w:firstLine="1440" w:firstLineChars="600"/>
        <w:jc w:val="right"/>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《农资质量追溯体系建设规范》编制组</w:t>
      </w:r>
    </w:p>
    <w:p>
      <w:pPr>
        <w:keepNext w:val="0"/>
        <w:keepLines w:val="0"/>
        <w:pageBreakBefore w:val="0"/>
        <w:kinsoku/>
        <w:wordWrap/>
        <w:overflowPunct/>
        <w:topLinePunct w:val="0"/>
        <w:autoSpaceDE/>
        <w:autoSpaceDN/>
        <w:bidi w:val="0"/>
        <w:adjustRightInd/>
        <w:snapToGrid/>
        <w:spacing w:line="360" w:lineRule="auto"/>
        <w:ind w:left="0" w:leftChars="0" w:right="0" w:rightChars="0" w:firstLine="1440" w:firstLineChars="600"/>
        <w:jc w:val="right"/>
        <w:textAlignment w:val="auto"/>
        <w:outlineLvl w:val="9"/>
        <w:rPr>
          <w:rFonts w:hint="eastAsia" w:ascii="宋体" w:hAnsi="宋体" w:eastAsia="宋体" w:cs="宋体"/>
          <w:sz w:val="24"/>
          <w:szCs w:val="24"/>
        </w:rPr>
      </w:pPr>
      <w:r>
        <w:rPr>
          <w:rFonts w:hint="eastAsia" w:ascii="宋体" w:hAnsi="宋体" w:eastAsia="宋体" w:cs="宋体"/>
          <w:sz w:val="24"/>
          <w:szCs w:val="24"/>
        </w:rPr>
        <w:t>          </w:t>
      </w:r>
      <w:r>
        <w:rPr>
          <w:rFonts w:hint="eastAsia" w:ascii="宋体" w:hAnsi="宋体" w:eastAsia="宋体" w:cs="宋体"/>
          <w:color w:val="000000"/>
          <w:sz w:val="24"/>
          <w:szCs w:val="24"/>
        </w:rPr>
        <w:t>          二〇一七年七月</w:t>
      </w:r>
    </w:p>
    <w:sectPr>
      <w:headerReference r:id="rId3" w:type="default"/>
      <w:footerReference r:id="rId4" w:type="default"/>
      <w:pgSz w:w="11906" w:h="16838"/>
      <w:pgMar w:top="1134" w:right="1287" w:bottom="1134" w:left="1797"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ˎ̥">
    <w:altName w:val="Times New Roman"/>
    <w:panose1 w:val="00000000000000000000"/>
    <w:charset w:val="00"/>
    <w:family w:val="roman"/>
    <w:pitch w:val="default"/>
    <w:sig w:usb0="00000000" w:usb1="00000000" w:usb2="00000000" w:usb3="00000000" w:csb0="00000000" w:csb1="00000000"/>
  </w:font>
  <w:font w:name="Verdana">
    <w:panose1 w:val="020B0604030504040204"/>
    <w:charset w:val="00"/>
    <w:family w:val="swiss"/>
    <w:pitch w:val="default"/>
    <w:sig w:usb0="A10006FF" w:usb1="4000205B" w:usb2="00000010"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等线">
    <w:altName w:val="宋体"/>
    <w:panose1 w:val="02010600030101010101"/>
    <w:charset w:val="86"/>
    <w:family w:val="auto"/>
    <w:pitch w:val="default"/>
    <w:sig w:usb0="00000000" w:usb1="00000000" w:usb2="00000016" w:usb3="00000000" w:csb0="0004000F" w:csb1="00000000"/>
  </w:font>
  <w:font w:name="方正小标宋简体">
    <w:panose1 w:val="02010601030101010101"/>
    <w:charset w:val="86"/>
    <w:family w:val="auto"/>
    <w:pitch w:val="default"/>
    <w:sig w:usb0="00000001" w:usb1="080E0000" w:usb2="00000000" w:usb3="00000000" w:csb0="00040000" w:csb1="00000000"/>
  </w:font>
  <w:font w:name="方正仿宋简体">
    <w:panose1 w:val="03000509000000000000"/>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framePr w:wrap="around" w:vAnchor="text" w:hAnchor="margin" w:xAlign="center" w:y="1"/>
      <w:rPr>
        <w:rStyle w:val="13"/>
      </w:rPr>
    </w:pPr>
    <w:r>
      <w:fldChar w:fldCharType="begin"/>
    </w:r>
    <w:r>
      <w:rPr>
        <w:rStyle w:val="13"/>
      </w:rPr>
      <w:instrText xml:space="preserve">PAGE  </w:instrText>
    </w:r>
    <w:r>
      <w:fldChar w:fldCharType="separate"/>
    </w:r>
    <w:r>
      <w:rPr>
        <w:rStyle w:val="13"/>
      </w:rPr>
      <w:t>4</w:t>
    </w:r>
    <w:r>
      <w:fldChar w:fldCharType="end"/>
    </w:r>
  </w:p>
  <w:p>
    <w:pPr>
      <w:pStyle w:val="8"/>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896A84"/>
    <w:multiLevelType w:val="multilevel"/>
    <w:tmpl w:val="0D896A84"/>
    <w:lvl w:ilvl="0" w:tentative="0">
      <w:start w:val="1"/>
      <w:numFmt w:val="decimal"/>
      <w:pStyle w:val="2"/>
      <w:lvlText w:val="%1"/>
      <w:lvlJc w:val="left"/>
      <w:pPr>
        <w:tabs>
          <w:tab w:val="left" w:pos="425"/>
        </w:tabs>
        <w:ind w:left="425" w:hanging="425"/>
      </w:pPr>
      <w:rPr>
        <w:rFonts w:hint="eastAsia" w:ascii="黑体" w:hAnsi="黑体" w:eastAsia="黑体"/>
      </w:rPr>
    </w:lvl>
    <w:lvl w:ilvl="1" w:tentative="0">
      <w:start w:val="1"/>
      <w:numFmt w:val="decimal"/>
      <w:lvlText w:val="%1.%2"/>
      <w:lvlJc w:val="left"/>
      <w:pPr>
        <w:tabs>
          <w:tab w:val="left" w:pos="567"/>
        </w:tabs>
        <w:ind w:left="567" w:hanging="567"/>
      </w:pPr>
      <w:rPr>
        <w:rFonts w:hint="eastAsia" w:ascii="黑体" w:hAnsi="黑体" w:eastAsia="黑体"/>
        <w:sz w:val="24"/>
        <w:szCs w:val="24"/>
      </w:rPr>
    </w:lvl>
    <w:lvl w:ilvl="2" w:tentative="0">
      <w:start w:val="1"/>
      <w:numFmt w:val="decimal"/>
      <w:lvlText w:val="%1.%2.%3"/>
      <w:lvlJc w:val="left"/>
      <w:pPr>
        <w:tabs>
          <w:tab w:val="left" w:pos="709"/>
        </w:tabs>
        <w:ind w:left="709" w:hanging="709"/>
      </w:pPr>
      <w:rPr>
        <w:rFonts w:hint="eastAsia" w:ascii="黑体" w:hAnsi="黑体" w:eastAsia="黑体"/>
      </w:rPr>
    </w:lvl>
    <w:lvl w:ilvl="3" w:tentative="0">
      <w:start w:val="1"/>
      <w:numFmt w:val="decimal"/>
      <w:suff w:val="nothing"/>
      <w:lvlText w:val="（%4）"/>
      <w:lvlJc w:val="left"/>
      <w:pPr>
        <w:ind w:left="851" w:hanging="851"/>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
  <w:rsids>
    <w:rsidRoot w:val="00172A27"/>
    <w:rsid w:val="00013A0C"/>
    <w:rsid w:val="00014311"/>
    <w:rsid w:val="0001468C"/>
    <w:rsid w:val="000320F2"/>
    <w:rsid w:val="0004738A"/>
    <w:rsid w:val="00060F3C"/>
    <w:rsid w:val="00064B68"/>
    <w:rsid w:val="0007207C"/>
    <w:rsid w:val="00075F6D"/>
    <w:rsid w:val="0007669C"/>
    <w:rsid w:val="00093E99"/>
    <w:rsid w:val="000B21E0"/>
    <w:rsid w:val="000D3E29"/>
    <w:rsid w:val="00100582"/>
    <w:rsid w:val="00121B85"/>
    <w:rsid w:val="00130DD0"/>
    <w:rsid w:val="00172A27"/>
    <w:rsid w:val="001A392D"/>
    <w:rsid w:val="001B41AD"/>
    <w:rsid w:val="001B46F3"/>
    <w:rsid w:val="001C22CD"/>
    <w:rsid w:val="001C3EA5"/>
    <w:rsid w:val="001E70DA"/>
    <w:rsid w:val="001F3B61"/>
    <w:rsid w:val="00214C9F"/>
    <w:rsid w:val="0022516F"/>
    <w:rsid w:val="00251687"/>
    <w:rsid w:val="00253D99"/>
    <w:rsid w:val="00265C50"/>
    <w:rsid w:val="00287970"/>
    <w:rsid w:val="002D4E95"/>
    <w:rsid w:val="002E555D"/>
    <w:rsid w:val="002E70D1"/>
    <w:rsid w:val="002F2372"/>
    <w:rsid w:val="003273B8"/>
    <w:rsid w:val="00327E78"/>
    <w:rsid w:val="00330A18"/>
    <w:rsid w:val="00376A62"/>
    <w:rsid w:val="003A25C5"/>
    <w:rsid w:val="003B3CB8"/>
    <w:rsid w:val="003E0D20"/>
    <w:rsid w:val="003E1A51"/>
    <w:rsid w:val="003E1A86"/>
    <w:rsid w:val="003F04E1"/>
    <w:rsid w:val="003F60B5"/>
    <w:rsid w:val="003F74D7"/>
    <w:rsid w:val="00402C5A"/>
    <w:rsid w:val="00405C70"/>
    <w:rsid w:val="004068E5"/>
    <w:rsid w:val="004158C3"/>
    <w:rsid w:val="004227E3"/>
    <w:rsid w:val="00434FB8"/>
    <w:rsid w:val="00450685"/>
    <w:rsid w:val="00463B17"/>
    <w:rsid w:val="00472C09"/>
    <w:rsid w:val="00483FD0"/>
    <w:rsid w:val="004861F0"/>
    <w:rsid w:val="00497573"/>
    <w:rsid w:val="004A6879"/>
    <w:rsid w:val="004B0C14"/>
    <w:rsid w:val="004C724F"/>
    <w:rsid w:val="004D32A1"/>
    <w:rsid w:val="004D58A6"/>
    <w:rsid w:val="004E5482"/>
    <w:rsid w:val="004E6D5B"/>
    <w:rsid w:val="004F2297"/>
    <w:rsid w:val="004F3C6F"/>
    <w:rsid w:val="005061D6"/>
    <w:rsid w:val="00517EBD"/>
    <w:rsid w:val="00521E83"/>
    <w:rsid w:val="00530FAA"/>
    <w:rsid w:val="00536684"/>
    <w:rsid w:val="00541C46"/>
    <w:rsid w:val="005630C5"/>
    <w:rsid w:val="005653EC"/>
    <w:rsid w:val="00576026"/>
    <w:rsid w:val="00583C71"/>
    <w:rsid w:val="00591AA5"/>
    <w:rsid w:val="0059524E"/>
    <w:rsid w:val="005B3EE6"/>
    <w:rsid w:val="005B58EF"/>
    <w:rsid w:val="005B66E0"/>
    <w:rsid w:val="005D289F"/>
    <w:rsid w:val="005E7AB3"/>
    <w:rsid w:val="005F0668"/>
    <w:rsid w:val="0062170D"/>
    <w:rsid w:val="00650122"/>
    <w:rsid w:val="0065133C"/>
    <w:rsid w:val="006527AE"/>
    <w:rsid w:val="00652BDC"/>
    <w:rsid w:val="00655286"/>
    <w:rsid w:val="00663E69"/>
    <w:rsid w:val="00677AAD"/>
    <w:rsid w:val="00677DC4"/>
    <w:rsid w:val="00684690"/>
    <w:rsid w:val="006B19CB"/>
    <w:rsid w:val="006C5690"/>
    <w:rsid w:val="006D34D4"/>
    <w:rsid w:val="006E57A6"/>
    <w:rsid w:val="006F36F2"/>
    <w:rsid w:val="006F6678"/>
    <w:rsid w:val="007001D7"/>
    <w:rsid w:val="00705F15"/>
    <w:rsid w:val="00720A97"/>
    <w:rsid w:val="0072364A"/>
    <w:rsid w:val="007314B0"/>
    <w:rsid w:val="00787BB3"/>
    <w:rsid w:val="007B0C94"/>
    <w:rsid w:val="007C13CE"/>
    <w:rsid w:val="007C184C"/>
    <w:rsid w:val="007E6069"/>
    <w:rsid w:val="008057F6"/>
    <w:rsid w:val="008061C7"/>
    <w:rsid w:val="008243F9"/>
    <w:rsid w:val="00833320"/>
    <w:rsid w:val="0083360B"/>
    <w:rsid w:val="0086018C"/>
    <w:rsid w:val="00884CA7"/>
    <w:rsid w:val="00894487"/>
    <w:rsid w:val="00895C38"/>
    <w:rsid w:val="008A0C26"/>
    <w:rsid w:val="008A27B8"/>
    <w:rsid w:val="008A3C6F"/>
    <w:rsid w:val="008A6810"/>
    <w:rsid w:val="008A7B06"/>
    <w:rsid w:val="008B4A36"/>
    <w:rsid w:val="008C0E54"/>
    <w:rsid w:val="008C2E0E"/>
    <w:rsid w:val="008C2FE0"/>
    <w:rsid w:val="008D4672"/>
    <w:rsid w:val="008F0E33"/>
    <w:rsid w:val="008F3E9A"/>
    <w:rsid w:val="008F614F"/>
    <w:rsid w:val="008F66FA"/>
    <w:rsid w:val="00900E88"/>
    <w:rsid w:val="009011FC"/>
    <w:rsid w:val="00921346"/>
    <w:rsid w:val="00946CCC"/>
    <w:rsid w:val="00964B12"/>
    <w:rsid w:val="009779A5"/>
    <w:rsid w:val="00980BB0"/>
    <w:rsid w:val="00981C06"/>
    <w:rsid w:val="009831F1"/>
    <w:rsid w:val="00986774"/>
    <w:rsid w:val="009D085B"/>
    <w:rsid w:val="00A00768"/>
    <w:rsid w:val="00A017EC"/>
    <w:rsid w:val="00A052DA"/>
    <w:rsid w:val="00A14265"/>
    <w:rsid w:val="00A50540"/>
    <w:rsid w:val="00A529A5"/>
    <w:rsid w:val="00A5450D"/>
    <w:rsid w:val="00A63C84"/>
    <w:rsid w:val="00A844B5"/>
    <w:rsid w:val="00A87A04"/>
    <w:rsid w:val="00A91DDB"/>
    <w:rsid w:val="00A95AF4"/>
    <w:rsid w:val="00A95B9D"/>
    <w:rsid w:val="00AB29FA"/>
    <w:rsid w:val="00AB5DFA"/>
    <w:rsid w:val="00AB6493"/>
    <w:rsid w:val="00AB7B38"/>
    <w:rsid w:val="00AD0186"/>
    <w:rsid w:val="00AE2B08"/>
    <w:rsid w:val="00AE7FB4"/>
    <w:rsid w:val="00B05C09"/>
    <w:rsid w:val="00B25652"/>
    <w:rsid w:val="00B3545C"/>
    <w:rsid w:val="00B40EF7"/>
    <w:rsid w:val="00B46763"/>
    <w:rsid w:val="00B53D2A"/>
    <w:rsid w:val="00B563AA"/>
    <w:rsid w:val="00B67259"/>
    <w:rsid w:val="00B915BE"/>
    <w:rsid w:val="00BB1997"/>
    <w:rsid w:val="00BC1AB7"/>
    <w:rsid w:val="00BC3555"/>
    <w:rsid w:val="00BF2A54"/>
    <w:rsid w:val="00C07FE5"/>
    <w:rsid w:val="00C10E88"/>
    <w:rsid w:val="00C12305"/>
    <w:rsid w:val="00C15E01"/>
    <w:rsid w:val="00C23C81"/>
    <w:rsid w:val="00C33BFE"/>
    <w:rsid w:val="00C37EA3"/>
    <w:rsid w:val="00C65EB7"/>
    <w:rsid w:val="00C7029F"/>
    <w:rsid w:val="00C7559D"/>
    <w:rsid w:val="00C93166"/>
    <w:rsid w:val="00CA105B"/>
    <w:rsid w:val="00CA4DE1"/>
    <w:rsid w:val="00CB15A0"/>
    <w:rsid w:val="00CB32A0"/>
    <w:rsid w:val="00CE5053"/>
    <w:rsid w:val="00D009E5"/>
    <w:rsid w:val="00D40DBD"/>
    <w:rsid w:val="00D57018"/>
    <w:rsid w:val="00DC687A"/>
    <w:rsid w:val="00DD6E1B"/>
    <w:rsid w:val="00E13495"/>
    <w:rsid w:val="00E42B96"/>
    <w:rsid w:val="00E42D53"/>
    <w:rsid w:val="00E43F83"/>
    <w:rsid w:val="00E4793C"/>
    <w:rsid w:val="00E562C8"/>
    <w:rsid w:val="00E7402E"/>
    <w:rsid w:val="00E854A3"/>
    <w:rsid w:val="00E86FE4"/>
    <w:rsid w:val="00EB64AE"/>
    <w:rsid w:val="00ED1645"/>
    <w:rsid w:val="00ED1ABF"/>
    <w:rsid w:val="00EE2841"/>
    <w:rsid w:val="00EE6E9A"/>
    <w:rsid w:val="00EF15CC"/>
    <w:rsid w:val="00EF2407"/>
    <w:rsid w:val="00EF3591"/>
    <w:rsid w:val="00F354A6"/>
    <w:rsid w:val="00F471FA"/>
    <w:rsid w:val="00F61F73"/>
    <w:rsid w:val="00F70196"/>
    <w:rsid w:val="00F76954"/>
    <w:rsid w:val="00F90BF6"/>
    <w:rsid w:val="00F92208"/>
    <w:rsid w:val="00FC2EA2"/>
    <w:rsid w:val="00FC799F"/>
    <w:rsid w:val="00FE191C"/>
    <w:rsid w:val="00FF7761"/>
    <w:rsid w:val="180B4196"/>
    <w:rsid w:val="2E3D62A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3"/>
    <w:link w:val="27"/>
    <w:qFormat/>
    <w:uiPriority w:val="0"/>
    <w:pPr>
      <w:keepLines/>
      <w:numPr>
        <w:ilvl w:val="0"/>
        <w:numId w:val="1"/>
      </w:numPr>
      <w:spacing w:before="60" w:after="60"/>
      <w:outlineLvl w:val="0"/>
    </w:pPr>
    <w:rPr>
      <w:rFonts w:eastAsia="黑体"/>
      <w:bCs/>
      <w:kern w:val="44"/>
      <w:sz w:val="28"/>
      <w:szCs w:val="44"/>
    </w:rPr>
  </w:style>
  <w:style w:type="paragraph" w:styleId="4">
    <w:name w:val="heading 2"/>
    <w:basedOn w:val="1"/>
    <w:next w:val="1"/>
    <w:link w:val="24"/>
    <w:qFormat/>
    <w:uiPriority w:val="0"/>
    <w:pPr>
      <w:keepNext/>
      <w:keepLines/>
      <w:spacing w:before="260" w:after="260" w:line="416" w:lineRule="auto"/>
      <w:outlineLvl w:val="1"/>
    </w:pPr>
    <w:rPr>
      <w:rFonts w:ascii="Arial" w:hAnsi="Arial" w:eastAsia="黑体"/>
      <w:b/>
      <w:bCs/>
      <w:sz w:val="32"/>
      <w:szCs w:val="32"/>
    </w:rPr>
  </w:style>
  <w:style w:type="paragraph" w:styleId="5">
    <w:name w:val="heading 3"/>
    <w:basedOn w:val="1"/>
    <w:next w:val="1"/>
    <w:link w:val="26"/>
    <w:qFormat/>
    <w:uiPriority w:val="0"/>
    <w:pPr>
      <w:keepNext/>
      <w:keepLines/>
      <w:spacing w:before="260" w:after="260" w:line="416" w:lineRule="auto"/>
      <w:outlineLvl w:val="2"/>
    </w:pPr>
    <w:rPr>
      <w:b/>
      <w:bCs/>
      <w:sz w:val="32"/>
      <w:szCs w:val="32"/>
    </w:rPr>
  </w:style>
  <w:style w:type="character" w:default="1" w:styleId="11">
    <w:name w:val="Default Paragraph Font"/>
    <w:unhideWhenUsed/>
    <w:qFormat/>
    <w:uiPriority w:val="1"/>
  </w:style>
  <w:style w:type="table" w:default="1" w:styleId="15">
    <w:name w:val="Normal Table"/>
    <w:unhideWhenUsed/>
    <w:qFormat/>
    <w:uiPriority w:val="99"/>
    <w:tblPr>
      <w:tblLayout w:type="fixed"/>
      <w:tblCellMar>
        <w:top w:w="0" w:type="dxa"/>
        <w:left w:w="108" w:type="dxa"/>
        <w:bottom w:w="0" w:type="dxa"/>
        <w:right w:w="108" w:type="dxa"/>
      </w:tblCellMar>
    </w:tblPr>
  </w:style>
  <w:style w:type="paragraph" w:styleId="3">
    <w:name w:val="Normal Indent"/>
    <w:basedOn w:val="1"/>
    <w:uiPriority w:val="0"/>
    <w:pPr>
      <w:ind w:firstLine="420" w:firstLineChars="200"/>
    </w:pPr>
  </w:style>
  <w:style w:type="paragraph" w:styleId="6">
    <w:name w:val="Plain Text"/>
    <w:basedOn w:val="1"/>
    <w:uiPriority w:val="0"/>
    <w:rPr>
      <w:rFonts w:ascii="宋体" w:hAnsi="Courier New" w:cs="Courier New"/>
      <w:szCs w:val="21"/>
    </w:rPr>
  </w:style>
  <w:style w:type="paragraph" w:styleId="7">
    <w:name w:val="Balloon Text"/>
    <w:basedOn w:val="1"/>
    <w:uiPriority w:val="0"/>
    <w:rPr>
      <w:sz w:val="18"/>
      <w:szCs w:val="18"/>
    </w:rPr>
  </w:style>
  <w:style w:type="paragraph" w:styleId="8">
    <w:name w:val="footer"/>
    <w:basedOn w:val="1"/>
    <w:uiPriority w:val="0"/>
    <w:pPr>
      <w:tabs>
        <w:tab w:val="center" w:pos="4153"/>
        <w:tab w:val="right" w:pos="8306"/>
      </w:tabs>
      <w:snapToGrid w:val="0"/>
      <w:jc w:val="left"/>
    </w:pPr>
    <w:rPr>
      <w:sz w:val="18"/>
      <w:szCs w:val="18"/>
    </w:rPr>
  </w:style>
  <w:style w:type="paragraph" w:styleId="9">
    <w:name w:val="header"/>
    <w:basedOn w:val="1"/>
    <w:link w:val="16"/>
    <w:uiPriority w:val="0"/>
    <w:pPr>
      <w:pBdr>
        <w:bottom w:val="single" w:color="auto" w:sz="6" w:space="1"/>
      </w:pBdr>
      <w:tabs>
        <w:tab w:val="center" w:pos="4153"/>
        <w:tab w:val="right" w:pos="8306"/>
      </w:tabs>
      <w:snapToGrid w:val="0"/>
      <w:jc w:val="center"/>
    </w:pPr>
    <w:rPr>
      <w:sz w:val="18"/>
      <w:szCs w:val="18"/>
    </w:rPr>
  </w:style>
  <w:style w:type="paragraph" w:styleId="10">
    <w:name w:val="toc 1"/>
    <w:basedOn w:val="1"/>
    <w:next w:val="1"/>
    <w:uiPriority w:val="39"/>
  </w:style>
  <w:style w:type="character" w:styleId="12">
    <w:name w:val="Strong"/>
    <w:qFormat/>
    <w:uiPriority w:val="0"/>
    <w:rPr>
      <w:b/>
      <w:bCs/>
    </w:rPr>
  </w:style>
  <w:style w:type="character" w:styleId="13">
    <w:name w:val="page number"/>
    <w:basedOn w:val="11"/>
    <w:qFormat/>
    <w:uiPriority w:val="0"/>
  </w:style>
  <w:style w:type="character" w:styleId="14">
    <w:name w:val="Hyperlink"/>
    <w:qFormat/>
    <w:uiPriority w:val="99"/>
    <w:rPr>
      <w:color w:val="0000FF"/>
      <w:u w:val="single"/>
    </w:rPr>
  </w:style>
  <w:style w:type="character" w:customStyle="1" w:styleId="16">
    <w:name w:val="页眉 Char"/>
    <w:link w:val="9"/>
    <w:uiPriority w:val="0"/>
    <w:rPr>
      <w:kern w:val="2"/>
      <w:sz w:val="18"/>
      <w:szCs w:val="18"/>
    </w:rPr>
  </w:style>
  <w:style w:type="paragraph" w:customStyle="1" w:styleId="17">
    <w:name w:val="段"/>
    <w:link w:val="23"/>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18">
    <w:name w:val="List Paragraph"/>
    <w:basedOn w:val="1"/>
    <w:qFormat/>
    <w:uiPriority w:val="0"/>
    <w:pPr>
      <w:ind w:firstLine="420" w:firstLineChars="200"/>
    </w:pPr>
  </w:style>
  <w:style w:type="paragraph" w:customStyle="1" w:styleId="19">
    <w:name w:val="1 Char"/>
    <w:basedOn w:val="1"/>
    <w:next w:val="1"/>
    <w:uiPriority w:val="0"/>
    <w:pPr>
      <w:widowControl/>
      <w:spacing w:before="120" w:after="120"/>
      <w:jc w:val="left"/>
    </w:pPr>
    <w:rPr>
      <w:szCs w:val="20"/>
    </w:rPr>
  </w:style>
  <w:style w:type="paragraph" w:customStyle="1" w:styleId="20">
    <w:name w:val="封面标准英文名称"/>
    <w:uiPriority w:val="0"/>
    <w:pPr>
      <w:widowControl w:val="0"/>
      <w:spacing w:before="370" w:line="400" w:lineRule="exact"/>
      <w:jc w:val="center"/>
    </w:pPr>
    <w:rPr>
      <w:rFonts w:ascii="Times New Roman" w:hAnsi="Times New Roman" w:eastAsia="宋体" w:cs="Times New Roman"/>
      <w:sz w:val="28"/>
      <w:lang w:val="en-US" w:eastAsia="zh-CN" w:bidi="ar-SA"/>
    </w:rPr>
  </w:style>
  <w:style w:type="paragraph" w:customStyle="1" w:styleId="21">
    <w:name w:val="封面标准文稿类别"/>
    <w:uiPriority w:val="0"/>
    <w:pPr>
      <w:spacing w:before="440" w:line="400" w:lineRule="exact"/>
      <w:jc w:val="center"/>
    </w:pPr>
    <w:rPr>
      <w:rFonts w:ascii="宋体" w:hAnsi="Times New Roman" w:eastAsia="宋体" w:cs="Times New Roman"/>
      <w:sz w:val="24"/>
      <w:lang w:val="en-US" w:eastAsia="zh-CN" w:bidi="ar-SA"/>
    </w:rPr>
  </w:style>
  <w:style w:type="character" w:customStyle="1" w:styleId="22">
    <w:name w:val="txtcontent11"/>
    <w:qFormat/>
    <w:uiPriority w:val="0"/>
    <w:rPr>
      <w:rFonts w:hint="default" w:ascii="ˎ̥" w:hAnsi="ˎ̥"/>
      <w:color w:val="000000"/>
      <w:sz w:val="21"/>
      <w:szCs w:val="21"/>
    </w:rPr>
  </w:style>
  <w:style w:type="character" w:customStyle="1" w:styleId="23">
    <w:name w:val="段 Char"/>
    <w:link w:val="17"/>
    <w:qFormat/>
    <w:locked/>
    <w:uiPriority w:val="0"/>
    <w:rPr>
      <w:rFonts w:ascii="宋体"/>
      <w:sz w:val="21"/>
      <w:lang w:val="en-US" w:eastAsia="zh-CN" w:bidi="ar-SA"/>
    </w:rPr>
  </w:style>
  <w:style w:type="character" w:customStyle="1" w:styleId="24">
    <w:name w:val="标题 2 Char"/>
    <w:link w:val="4"/>
    <w:qFormat/>
    <w:uiPriority w:val="0"/>
    <w:rPr>
      <w:rFonts w:ascii="Arial" w:hAnsi="Arial" w:eastAsia="黑体"/>
      <w:b/>
      <w:bCs/>
      <w:kern w:val="2"/>
      <w:sz w:val="32"/>
      <w:szCs w:val="32"/>
    </w:rPr>
  </w:style>
  <w:style w:type="paragraph" w:customStyle="1" w:styleId="25">
    <w:name w:val="列出段落1"/>
    <w:basedOn w:val="1"/>
    <w:qFormat/>
    <w:uiPriority w:val="0"/>
    <w:pPr>
      <w:ind w:firstLine="420" w:firstLineChars="200"/>
    </w:pPr>
    <w:rPr>
      <w:rFonts w:ascii="Calibri" w:hAnsi="Calibri"/>
      <w:szCs w:val="22"/>
    </w:rPr>
  </w:style>
  <w:style w:type="character" w:customStyle="1" w:styleId="26">
    <w:name w:val="标题 3 Char"/>
    <w:link w:val="5"/>
    <w:qFormat/>
    <w:uiPriority w:val="0"/>
    <w:rPr>
      <w:b/>
      <w:bCs/>
      <w:kern w:val="2"/>
      <w:sz w:val="32"/>
      <w:szCs w:val="32"/>
    </w:rPr>
  </w:style>
  <w:style w:type="character" w:customStyle="1" w:styleId="27">
    <w:name w:val="标题 1 Char"/>
    <w:link w:val="2"/>
    <w:qFormat/>
    <w:locked/>
    <w:uiPriority w:val="0"/>
    <w:rPr>
      <w:rFonts w:eastAsia="黑体"/>
      <w:bCs/>
      <w:kern w:val="44"/>
      <w:sz w:val="28"/>
      <w:szCs w:val="44"/>
      <w:lang w:val="en-US" w:eastAsia="zh-CN" w:bidi="ar-SA"/>
    </w:rPr>
  </w:style>
  <w:style w:type="paragraph" w:customStyle="1" w:styleId="28">
    <w:name w:val="Char Char1"/>
    <w:basedOn w:val="1"/>
    <w:qFormat/>
    <w:uiPriority w:val="0"/>
    <w:pPr>
      <w:widowControl/>
      <w:spacing w:after="160" w:line="240" w:lineRule="exact"/>
      <w:jc w:val="left"/>
    </w:pPr>
    <w:rPr>
      <w:rFonts w:ascii="Verdana" w:hAnsi="Verdana"/>
      <w:kern w:val="0"/>
      <w:sz w:val="20"/>
      <w:szCs w:val="20"/>
      <w:lang w:eastAsia="en-U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390</Words>
  <Characters>2225</Characters>
  <Lines>18</Lines>
  <Paragraphs>5</Paragraphs>
  <ScaleCrop>false</ScaleCrop>
  <LinksUpToDate>false</LinksUpToDate>
  <CharactersWithSpaces>2610</CharactersWithSpaces>
  <Application>WPS Office_10.1.0.6876_F1E327BC-269C-435d-A152-05C5408002CA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2017-10-10T08:17:00Z</dcterms:created>
  <dc:creator>71</dc:creator>
  <cp:lastModifiedBy>tianjiarun</cp:lastModifiedBy>
  <cp:lastPrinted>2013-10-29T03:28:00Z</cp:lastPrinted>
  <dcterms:modified xsi:type="dcterms:W3CDTF">2017-10-19T06:43:00Z</dcterms:modified>
  <dc:title>《制表用纯钛板材》</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2052-10.1.0.6876</vt:lpwstr>
  </property>
</Properties>
</file>